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100" w:line="360" w:lineRule="auto"/>
        <w:jc w:val="center"/>
        <w:rPr>
          <w:rFonts w:ascii="楷体" w:hAnsi="楷体" w:eastAsia="楷体"/>
          <w:b/>
          <w:color w:val="000000"/>
          <w:sz w:val="36"/>
          <w:szCs w:val="36"/>
        </w:rPr>
      </w:pPr>
      <w:bookmarkStart w:id="0" w:name="_GoBack"/>
      <w:bookmarkEnd w:id="0"/>
      <w:r>
        <w:rPr>
          <w:rFonts w:hint="eastAsia" w:ascii="楷体" w:hAnsi="楷体" w:eastAsia="楷体"/>
          <w:b/>
          <w:color w:val="000000"/>
          <w:sz w:val="36"/>
          <w:szCs w:val="36"/>
        </w:rPr>
        <w:t>附件1：中原</w:t>
      </w:r>
      <w:r>
        <w:rPr>
          <w:rFonts w:ascii="楷体" w:hAnsi="楷体" w:eastAsia="楷体"/>
          <w:b/>
          <w:color w:val="000000"/>
          <w:sz w:val="36"/>
          <w:szCs w:val="36"/>
        </w:rPr>
        <w:t>经济</w:t>
      </w:r>
      <w:r>
        <w:rPr>
          <w:rFonts w:hint="eastAsia" w:ascii="楷体" w:hAnsi="楷体" w:eastAsia="楷体"/>
          <w:b/>
          <w:color w:val="000000"/>
          <w:sz w:val="36"/>
          <w:szCs w:val="36"/>
        </w:rPr>
        <w:t>区</w:t>
      </w:r>
      <w:r>
        <w:rPr>
          <w:rFonts w:ascii="楷体" w:hAnsi="楷体" w:eastAsia="楷体"/>
          <w:b/>
          <w:color w:val="000000"/>
          <w:sz w:val="36"/>
          <w:szCs w:val="36"/>
        </w:rPr>
        <w:t>“</w:t>
      </w:r>
      <w:r>
        <w:rPr>
          <w:rFonts w:hint="eastAsia" w:ascii="楷体" w:hAnsi="楷体" w:eastAsia="楷体"/>
          <w:b/>
          <w:color w:val="000000"/>
          <w:sz w:val="36"/>
          <w:szCs w:val="36"/>
        </w:rPr>
        <w:t>三化</w:t>
      </w:r>
      <w:r>
        <w:rPr>
          <w:rFonts w:ascii="楷体" w:hAnsi="楷体" w:eastAsia="楷体"/>
          <w:b/>
          <w:color w:val="000000"/>
          <w:sz w:val="36"/>
          <w:szCs w:val="36"/>
        </w:rPr>
        <w:t>”</w:t>
      </w:r>
      <w:r>
        <w:rPr>
          <w:rFonts w:hint="eastAsia" w:ascii="楷体" w:hAnsi="楷体" w:eastAsia="楷体"/>
          <w:b/>
          <w:color w:val="000000"/>
          <w:sz w:val="36"/>
          <w:szCs w:val="36"/>
        </w:rPr>
        <w:t>协调</w:t>
      </w:r>
      <w:r>
        <w:rPr>
          <w:rFonts w:ascii="楷体" w:hAnsi="楷体" w:eastAsia="楷体"/>
          <w:b/>
          <w:color w:val="000000"/>
          <w:sz w:val="36"/>
          <w:szCs w:val="36"/>
        </w:rPr>
        <w:t>发展河南省</w:t>
      </w:r>
      <w:r>
        <w:rPr>
          <w:rFonts w:hint="eastAsia" w:ascii="楷体" w:hAnsi="楷体" w:eastAsia="楷体"/>
          <w:b/>
          <w:color w:val="000000"/>
          <w:sz w:val="36"/>
          <w:szCs w:val="36"/>
        </w:rPr>
        <w:t>协同创新中心        非全职学术骨干管理办法</w:t>
      </w:r>
    </w:p>
    <w:p>
      <w:pPr>
        <w:spacing w:beforeLines="50"/>
        <w:jc w:val="center"/>
        <w:rPr>
          <w:rFonts w:ascii="华文仿宋" w:hAnsi="华文仿宋" w:eastAsia="华文仿宋"/>
          <w:color w:val="000000"/>
          <w:sz w:val="18"/>
          <w:szCs w:val="18"/>
        </w:rPr>
      </w:pPr>
    </w:p>
    <w:p>
      <w:pPr>
        <w:spacing w:beforeLines="50"/>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第一章 总 则</w:t>
      </w:r>
    </w:p>
    <w:p>
      <w:pPr>
        <w:spacing w:beforeLines="50"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第一条 </w:t>
      </w:r>
      <w:r>
        <w:rPr>
          <w:rFonts w:hint="eastAsia" w:ascii="仿宋_GB2312" w:hAnsi="仿宋_GB2312" w:eastAsia="仿宋_GB2312" w:cs="仿宋_GB2312"/>
          <w:color w:val="000000"/>
          <w:sz w:val="28"/>
          <w:szCs w:val="28"/>
        </w:rPr>
        <w:t>中原经济区“三化”协调发展河南省协同创新中心（以下简称“中心”）非全职学术骨干的选拔和聘用，是体现中心以高素质</w:t>
      </w:r>
      <w:r>
        <w:rPr>
          <w:rFonts w:ascii="仿宋_GB2312" w:hAnsi="仿宋_GB2312" w:eastAsia="仿宋_GB2312" w:cs="仿宋_GB2312"/>
          <w:color w:val="000000"/>
          <w:sz w:val="28"/>
          <w:szCs w:val="28"/>
        </w:rPr>
        <w:t>拔尖创新人才培养为</w:t>
      </w:r>
      <w:r>
        <w:rPr>
          <w:rFonts w:hint="eastAsia" w:ascii="仿宋_GB2312" w:hAnsi="仿宋_GB2312" w:eastAsia="仿宋_GB2312" w:cs="仿宋_GB2312"/>
          <w:color w:val="000000"/>
          <w:sz w:val="28"/>
          <w:szCs w:val="28"/>
        </w:rPr>
        <w:t>重要任务的实现形式之一，是支撑中心努力实现“三化”协调</w:t>
      </w:r>
      <w:r>
        <w:rPr>
          <w:rFonts w:ascii="仿宋_GB2312" w:hAnsi="仿宋_GB2312" w:eastAsia="仿宋_GB2312" w:cs="仿宋_GB2312"/>
          <w:color w:val="000000"/>
          <w:sz w:val="28"/>
          <w:szCs w:val="28"/>
        </w:rPr>
        <w:t>发展</w:t>
      </w:r>
      <w:r>
        <w:rPr>
          <w:rFonts w:hint="eastAsia" w:ascii="仿宋_GB2312" w:hAnsi="仿宋_GB2312" w:eastAsia="仿宋_GB2312" w:cs="仿宋_GB2312"/>
          <w:color w:val="000000"/>
          <w:sz w:val="28"/>
          <w:szCs w:val="28"/>
        </w:rPr>
        <w:t>及可持续发展</w:t>
      </w:r>
      <w:r>
        <w:rPr>
          <w:rFonts w:ascii="仿宋_GB2312" w:hAnsi="仿宋_GB2312" w:eastAsia="仿宋_GB2312" w:cs="仿宋_GB2312"/>
          <w:color w:val="000000"/>
          <w:sz w:val="28"/>
          <w:szCs w:val="28"/>
        </w:rPr>
        <w:t>基础理论、政策研究与实践应用</w:t>
      </w:r>
      <w:r>
        <w:rPr>
          <w:rFonts w:hint="eastAsia" w:ascii="仿宋" w:hAnsi="仿宋" w:eastAsia="仿宋"/>
          <w:sz w:val="28"/>
          <w:szCs w:val="28"/>
        </w:rPr>
        <w:t>的重要力量。为加强</w:t>
      </w:r>
      <w:r>
        <w:rPr>
          <w:rFonts w:hint="eastAsia" w:ascii="仿宋_GB2312" w:hAnsi="仿宋_GB2312" w:eastAsia="仿宋_GB2312" w:cs="仿宋_GB2312"/>
          <w:color w:val="000000"/>
          <w:sz w:val="28"/>
          <w:szCs w:val="28"/>
        </w:rPr>
        <w:t>学术骨干的管理，充分激励其创新工作的积极性，特制定本办法</w:t>
      </w:r>
      <w:r>
        <w:rPr>
          <w:rFonts w:hint="eastAsia" w:ascii="仿宋" w:hAnsi="仿宋" w:eastAsia="仿宋"/>
          <w:sz w:val="28"/>
          <w:szCs w:val="28"/>
        </w:rPr>
        <w:t>。</w:t>
      </w:r>
    </w:p>
    <w:p>
      <w:pPr>
        <w:spacing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第二条  </w:t>
      </w:r>
      <w:r>
        <w:rPr>
          <w:rFonts w:hint="eastAsia" w:ascii="仿宋_GB2312" w:hAnsi="仿宋_GB2312" w:eastAsia="仿宋_GB2312" w:cs="仿宋_GB2312"/>
          <w:color w:val="000000"/>
          <w:sz w:val="28"/>
          <w:szCs w:val="28"/>
        </w:rPr>
        <w:t>学术骨干实行年度聘任制，每年招聘一次；中心按照学术骨干岗位职责进行绩效考核，考核结果作为是否续聘的依据。</w:t>
      </w:r>
    </w:p>
    <w:p>
      <w:pPr>
        <w:spacing w:beforeLines="50" w:line="30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第二章  招聘范围、条件、岗位职责</w:t>
      </w:r>
    </w:p>
    <w:p>
      <w:pPr>
        <w:spacing w:beforeLines="50" w:line="300" w:lineRule="auto"/>
        <w:ind w:firstLine="562"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第三条  </w:t>
      </w:r>
      <w:r>
        <w:rPr>
          <w:rFonts w:hint="eastAsia" w:ascii="仿宋_GB2312" w:hAnsi="仿宋_GB2312" w:eastAsia="仿宋_GB2312" w:cs="仿宋_GB2312"/>
          <w:color w:val="000000"/>
          <w:sz w:val="28"/>
          <w:szCs w:val="28"/>
        </w:rPr>
        <w:t>根据研究工作需要，中心每年面向校内</w:t>
      </w:r>
      <w:r>
        <w:rPr>
          <w:rFonts w:ascii="仿宋_GB2312" w:hAnsi="仿宋_GB2312" w:eastAsia="仿宋_GB2312" w:cs="仿宋_GB2312"/>
          <w:color w:val="000000"/>
          <w:sz w:val="28"/>
          <w:szCs w:val="28"/>
        </w:rPr>
        <w:t>及协同单位</w:t>
      </w:r>
      <w:r>
        <w:rPr>
          <w:rFonts w:hint="eastAsia" w:ascii="仿宋_GB2312" w:hAnsi="仿宋_GB2312" w:eastAsia="仿宋_GB2312" w:cs="仿宋_GB2312"/>
          <w:color w:val="000000"/>
          <w:sz w:val="28"/>
          <w:szCs w:val="28"/>
        </w:rPr>
        <w:t>相关学科公开招聘一定数量的学术骨干；前一聘期考核合格（</w:t>
      </w:r>
      <w:r>
        <w:rPr>
          <w:rFonts w:eastAsia="仿宋_GB2312"/>
          <w:color w:val="000000"/>
          <w:sz w:val="28"/>
          <w:szCs w:val="28"/>
        </w:rPr>
        <w:t>B</w:t>
      </w:r>
      <w:r>
        <w:rPr>
          <w:rFonts w:hint="eastAsia" w:ascii="仿宋_GB2312" w:hAnsi="仿宋_GB2312" w:eastAsia="仿宋_GB2312" w:cs="仿宋_GB2312"/>
          <w:color w:val="000000"/>
          <w:sz w:val="28"/>
          <w:szCs w:val="28"/>
        </w:rPr>
        <w:t>级）以上的人员优先选聘。</w:t>
      </w:r>
    </w:p>
    <w:p>
      <w:pPr>
        <w:spacing w:line="300" w:lineRule="auto"/>
        <w:ind w:left="420" w:leftChars="200" w:firstLine="1"/>
        <w:jc w:val="left"/>
        <w:rPr>
          <w:rFonts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 xml:space="preserve">第四条 </w:t>
      </w:r>
      <w:r>
        <w:rPr>
          <w:rFonts w:hint="eastAsia" w:ascii="仿宋_GB2312" w:hAnsi="仿宋_GB2312" w:eastAsia="仿宋_GB2312" w:cs="仿宋_GB2312"/>
          <w:sz w:val="28"/>
          <w:szCs w:val="28"/>
        </w:rPr>
        <w:t>申报资格与条件（“</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”为基础条件，“</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”满足其中一条即可</w:t>
      </w:r>
    </w:p>
    <w:p>
      <w:pPr>
        <w:spacing w:line="300" w:lineRule="auto"/>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1、具有相关学科博士学位或讲师以上职称；</w:t>
      </w:r>
    </w:p>
    <w:p>
      <w:pPr>
        <w:pStyle w:val="13"/>
        <w:spacing w:before="0" w:beforeAutospacing="0" w:after="0" w:afterAutospacing="0"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2、主持过“三化”协调</w:t>
      </w:r>
      <w:r>
        <w:rPr>
          <w:rFonts w:ascii="仿宋_GB2312" w:hAnsi="仿宋_GB2312" w:eastAsia="仿宋_GB2312" w:cs="仿宋_GB2312"/>
          <w:sz w:val="28"/>
          <w:szCs w:val="28"/>
        </w:rPr>
        <w:t>发展</w:t>
      </w:r>
      <w:r>
        <w:rPr>
          <w:rFonts w:hint="eastAsia" w:ascii="仿宋_GB2312" w:hAnsi="仿宋_GB2312" w:eastAsia="仿宋_GB2312" w:cs="仿宋_GB2312"/>
          <w:sz w:val="28"/>
          <w:szCs w:val="28"/>
        </w:rPr>
        <w:t>相关领域的省部级及以上科研项目；</w:t>
      </w:r>
    </w:p>
    <w:p>
      <w:pPr>
        <w:pStyle w:val="13"/>
        <w:spacing w:before="0" w:beforeAutospacing="0" w:after="0" w:afterAutospacing="0"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3、在我校规定的三类奖励期刊上发表相关学术论文</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篇以上；或在四类奖励期刊发表学术论文</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篇以上。</w:t>
      </w:r>
    </w:p>
    <w:p>
      <w:pPr>
        <w:spacing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第五条  </w:t>
      </w:r>
      <w:r>
        <w:rPr>
          <w:rFonts w:hint="eastAsia" w:ascii="仿宋_GB2312" w:hAnsi="仿宋_GB2312" w:eastAsia="仿宋_GB2312" w:cs="仿宋_GB2312"/>
          <w:color w:val="000000"/>
          <w:sz w:val="28"/>
          <w:szCs w:val="28"/>
        </w:rPr>
        <w:t>岗位职责</w:t>
      </w:r>
    </w:p>
    <w:p>
      <w:pPr>
        <w:tabs>
          <w:tab w:val="left" w:pos="4043"/>
        </w:tabs>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围绕中心工作使命与任务，开展相关基础理论和政策研究。</w:t>
      </w:r>
    </w:p>
    <w:p>
      <w:pPr>
        <w:tabs>
          <w:tab w:val="left" w:pos="4043"/>
        </w:tabs>
        <w:spacing w:beforeLines="50"/>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撰写政策研究和分析报告，为中心各学科集群和创新团队的</w:t>
      </w:r>
      <w:r>
        <w:rPr>
          <w:rFonts w:hint="eastAsia" w:ascii="仿宋" w:hAnsi="仿宋" w:eastAsia="仿宋"/>
          <w:color w:val="000000" w:themeColor="text1"/>
          <w:sz w:val="30"/>
          <w:szCs w:val="30"/>
        </w:rPr>
        <w:t>发展</w:t>
      </w:r>
      <w:r>
        <w:rPr>
          <w:rFonts w:hint="eastAsia" w:ascii="仿宋" w:hAnsi="仿宋" w:eastAsia="仿宋"/>
          <w:sz w:val="30"/>
          <w:szCs w:val="30"/>
        </w:rPr>
        <w:t>提供理论支撑；定期或不定期向各级政府提出相关政策建议。撰写、编辑所负责联系的</w:t>
      </w:r>
      <w:r>
        <w:rPr>
          <w:rFonts w:hint="eastAsia" w:ascii="仿宋" w:hAnsi="仿宋" w:eastAsia="仿宋"/>
          <w:color w:val="000000" w:themeColor="text1"/>
          <w:sz w:val="30"/>
          <w:szCs w:val="30"/>
        </w:rPr>
        <w:t>研究领域</w:t>
      </w:r>
      <w:r>
        <w:rPr>
          <w:rFonts w:hint="eastAsia" w:ascii="仿宋" w:hAnsi="仿宋" w:eastAsia="仿宋"/>
          <w:sz w:val="30"/>
          <w:szCs w:val="30"/>
        </w:rPr>
        <w:t>及学科集群学术活动、发展动态信息，并在中心网站上发布。</w:t>
      </w:r>
    </w:p>
    <w:p>
      <w:pPr>
        <w:tabs>
          <w:tab w:val="left" w:pos="4043"/>
        </w:tabs>
        <w:ind w:firstLine="600" w:firstLineChars="2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负责中心与相关学科集群创新团队及所依托的相关院系进行日常工作的联络，积极推进学科集群各创新团队之间的合作与交流；协助相关学科集群创新团队举办各种学术研讨、行业论坛及成果发布会。</w:t>
      </w:r>
    </w:p>
    <w:p>
      <w:pPr>
        <w:spacing w:line="300" w:lineRule="auto"/>
        <w:ind w:firstLine="600" w:firstLineChars="200"/>
        <w:rPr>
          <w:rFonts w:ascii="仿宋_GB2312" w:hAnsi="仿宋_GB2312" w:eastAsia="仿宋_GB2312" w:cs="仿宋_GB2312"/>
          <w:color w:val="000000"/>
          <w:sz w:val="28"/>
          <w:szCs w:val="28"/>
        </w:rPr>
      </w:pPr>
      <w:r>
        <w:rPr>
          <w:rFonts w:ascii="仿宋" w:hAnsi="仿宋" w:eastAsia="仿宋"/>
          <w:sz w:val="30"/>
          <w:szCs w:val="30"/>
        </w:rPr>
        <w:t>4.</w:t>
      </w:r>
      <w:r>
        <w:rPr>
          <w:rFonts w:hint="eastAsia" w:ascii="仿宋" w:hAnsi="仿宋" w:eastAsia="仿宋"/>
          <w:sz w:val="30"/>
          <w:szCs w:val="30"/>
        </w:rPr>
        <w:t>积极参加中心组织的各种学术活动，并代表中心参加国内外的学术交流活动，完成中心安排的其它相关的业务工作。</w:t>
      </w:r>
    </w:p>
    <w:p>
      <w:pPr>
        <w:pStyle w:val="13"/>
        <w:spacing w:before="0" w:beforeAutospacing="0" w:after="0" w:afterAutospacing="0" w:line="30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rPr>
        <w:t>第六条</w:t>
      </w:r>
      <w:r>
        <w:rPr>
          <w:rFonts w:hint="eastAsia" w:ascii="仿宋_GB2312" w:hAnsi="仿宋_GB2312" w:eastAsia="仿宋_GB2312" w:cs="仿宋_GB2312"/>
          <w:sz w:val="28"/>
          <w:szCs w:val="28"/>
        </w:rPr>
        <w:t xml:space="preserve"> 特殊岗位学术骨干的招聘工作，由中心主任办公会专门讨论、确定和聘任。</w:t>
      </w:r>
    </w:p>
    <w:p>
      <w:pPr>
        <w:pStyle w:val="13"/>
        <w:spacing w:before="0" w:beforeAutospacing="0" w:after="0" w:afterAutospacing="0" w:line="300" w:lineRule="auto"/>
        <w:ind w:firstLine="560" w:firstLineChars="200"/>
        <w:rPr>
          <w:rFonts w:ascii="仿宋_GB2312" w:hAnsi="仿宋_GB2312" w:eastAsia="仿宋_GB2312" w:cs="仿宋_GB2312"/>
          <w:color w:val="FF0000"/>
          <w:sz w:val="28"/>
          <w:szCs w:val="28"/>
        </w:rPr>
      </w:pPr>
    </w:p>
    <w:p>
      <w:pPr>
        <w:spacing w:beforeLines="50" w:line="30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第三章  申报与评审</w:t>
      </w:r>
    </w:p>
    <w:p>
      <w:pPr>
        <w:spacing w:beforeLines="50"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第七条  </w:t>
      </w:r>
      <w:r>
        <w:rPr>
          <w:rFonts w:hint="eastAsia" w:ascii="仿宋_GB2312" w:hAnsi="仿宋_GB2312" w:eastAsia="仿宋_GB2312" w:cs="仿宋_GB2312"/>
          <w:color w:val="000000"/>
          <w:sz w:val="28"/>
          <w:szCs w:val="28"/>
        </w:rPr>
        <w:t>中心遵循公平、公开、公正的原则招聘学术骨干；按照中心发布公告、申报者自主报名、申报者所在单位推荐、专家评审、中心学术委员会评议、结果公示、中心主任办公会审批入选名单的程序择优选拔。</w:t>
      </w:r>
    </w:p>
    <w:p>
      <w:pPr>
        <w:spacing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第八条  </w:t>
      </w:r>
      <w:r>
        <w:rPr>
          <w:rFonts w:hint="eastAsia" w:ascii="仿宋_GB2312" w:hAnsi="仿宋_GB2312" w:eastAsia="仿宋_GB2312" w:cs="仿宋_GB2312"/>
          <w:color w:val="000000"/>
          <w:sz w:val="28"/>
          <w:szCs w:val="28"/>
        </w:rPr>
        <w:t>个人在申报学术骨干时，应征得所在单位同意并签署推荐意见。申报材料由个人直接提交中原经济区</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三化</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协调发展河南省协同创新中心。</w:t>
      </w:r>
    </w:p>
    <w:p>
      <w:pPr>
        <w:spacing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第九条  </w:t>
      </w:r>
      <w:r>
        <w:rPr>
          <w:rFonts w:hint="eastAsia" w:ascii="仿宋_GB2312" w:hAnsi="仿宋_GB2312" w:eastAsia="仿宋_GB2312" w:cs="仿宋_GB2312"/>
          <w:color w:val="000000"/>
          <w:sz w:val="28"/>
          <w:szCs w:val="28"/>
        </w:rPr>
        <w:t>中心负责组织校内外相关领域专家对学术骨干岗位申报材料进行评审，学校相关管理部门负责监督。</w:t>
      </w:r>
    </w:p>
    <w:p>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第十条  中心将招聘评审结果张榜或在校园网上公示，公示期为3个工作日，如无异议，按照中心审批程序确定正式名单并公布。</w:t>
      </w:r>
    </w:p>
    <w:p>
      <w:pPr>
        <w:spacing w:beforeLines="50" w:line="30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第四章  日常管理</w:t>
      </w:r>
    </w:p>
    <w:p>
      <w:pPr>
        <w:spacing w:beforeLines="50"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第十一条  </w:t>
      </w:r>
      <w:r>
        <w:rPr>
          <w:rFonts w:hint="eastAsia" w:ascii="仿宋_GB2312" w:hAnsi="仿宋_GB2312" w:eastAsia="仿宋_GB2312" w:cs="仿宋_GB2312"/>
          <w:color w:val="000000"/>
          <w:sz w:val="28"/>
          <w:szCs w:val="28"/>
        </w:rPr>
        <w:t>在聘期内，中心至少为入选者提供</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项匹配经费的基础理论预研项目。</w:t>
      </w:r>
    </w:p>
    <w:p>
      <w:pPr>
        <w:spacing w:line="580" w:lineRule="exact"/>
        <w:ind w:firstLine="562" w:firstLineChars="200"/>
        <w:rPr>
          <w:rFonts w:ascii="仿宋_GB2312" w:hAnsi="仿宋" w:eastAsia="仿宋_GB2312"/>
          <w:sz w:val="32"/>
          <w:szCs w:val="32"/>
        </w:rPr>
      </w:pPr>
      <w:r>
        <w:rPr>
          <w:rFonts w:hint="eastAsia" w:ascii="仿宋_GB2312" w:hAnsi="仿宋_GB2312" w:eastAsia="仿宋_GB2312" w:cs="仿宋_GB2312"/>
          <w:b/>
          <w:bCs/>
          <w:color w:val="000000"/>
          <w:sz w:val="28"/>
          <w:szCs w:val="28"/>
        </w:rPr>
        <w:t xml:space="preserve">第十二条  </w:t>
      </w:r>
      <w:r>
        <w:rPr>
          <w:rFonts w:hint="eastAsia" w:ascii="仿宋_GB2312" w:hAnsi="仿宋_GB2312" w:eastAsia="仿宋_GB2312" w:cs="仿宋_GB2312"/>
          <w:color w:val="000000"/>
          <w:sz w:val="28"/>
          <w:szCs w:val="28"/>
        </w:rPr>
        <w:t>学术骨干在聘期内，接受中心的日常管理，服从工作安排，按照中心规定提交季度和年度工作绩效报告。</w:t>
      </w:r>
      <w:r>
        <w:rPr>
          <w:rFonts w:hint="eastAsia" w:ascii="仿宋_GB2312" w:hAnsi="仿宋_GB2312" w:eastAsia="仿宋_GB2312" w:cs="仿宋_GB2312"/>
          <w:bCs/>
          <w:sz w:val="28"/>
          <w:szCs w:val="28"/>
        </w:rPr>
        <w:t>学术骨干的薪酬按照聘约总额的40% 按月发放，60% 在确定年度考核等级后发放。</w:t>
      </w:r>
    </w:p>
    <w:p>
      <w:pPr>
        <w:spacing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第十三条  </w:t>
      </w:r>
      <w:r>
        <w:rPr>
          <w:rFonts w:hint="eastAsia" w:ascii="仿宋_GB2312" w:hAnsi="仿宋_GB2312" w:eastAsia="仿宋_GB2312" w:cs="仿宋_GB2312"/>
          <w:color w:val="000000"/>
          <w:sz w:val="28"/>
          <w:szCs w:val="28"/>
        </w:rPr>
        <w:t>凡在聘期内基于中心条件或资助下完成的科研和社会服务成果，需按规定标注</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中原经济区</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三化</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协调发展河南省协同创新中心</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为第一完成单位。</w:t>
      </w:r>
    </w:p>
    <w:p>
      <w:pPr>
        <w:spacing w:line="30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第十四条  </w:t>
      </w:r>
      <w:r>
        <w:rPr>
          <w:rFonts w:hint="eastAsia" w:ascii="仿宋_GB2312" w:hAnsi="仿宋_GB2312" w:eastAsia="仿宋_GB2312" w:cs="仿宋_GB2312"/>
          <w:bCs/>
          <w:color w:val="000000"/>
          <w:sz w:val="28"/>
          <w:szCs w:val="28"/>
        </w:rPr>
        <w:t>学术骨干岗位</w:t>
      </w:r>
      <w:r>
        <w:rPr>
          <w:rFonts w:hint="eastAsia" w:ascii="仿宋_GB2312" w:hAnsi="仿宋_GB2312" w:eastAsia="仿宋_GB2312" w:cs="仿宋_GB2312"/>
          <w:color w:val="000000"/>
          <w:sz w:val="28"/>
          <w:szCs w:val="28"/>
        </w:rPr>
        <w:t>入选者一般应完成一个完整的年度聘期。如在聘期内未能正常履行职责，或调离我校教学、科研岗位，或违反职业道德、弄虚作假，或触犯法律的，中原经济区</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三化</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协调发展河南省协同创新中心有权取消聘约。</w:t>
      </w:r>
    </w:p>
    <w:p>
      <w:pPr>
        <w:spacing w:beforeLines="50" w:line="30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第五章  考核办法</w:t>
      </w:r>
    </w:p>
    <w:p>
      <w:pPr>
        <w:spacing w:line="300" w:lineRule="auto"/>
        <w:ind w:firstLine="562"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第十五条  </w:t>
      </w:r>
      <w:r>
        <w:rPr>
          <w:rFonts w:hint="eastAsia" w:ascii="仿宋_GB2312" w:hAnsi="仿宋_GB2312" w:eastAsia="仿宋_GB2312" w:cs="仿宋_GB2312"/>
          <w:color w:val="000000"/>
          <w:sz w:val="28"/>
          <w:szCs w:val="28"/>
        </w:rPr>
        <w:t>中心按照非全职学术骨干岗位职责和聘任合同对受聘学术骨干进行考核。</w:t>
      </w:r>
    </w:p>
    <w:p>
      <w:pPr>
        <w:spacing w:beforeLines="50" w:line="360" w:lineRule="auto"/>
        <w:ind w:firstLine="640" w:firstLineChars="200"/>
        <w:rPr>
          <w:rFonts w:ascii="仿宋" w:hAnsi="仿宋" w:eastAsia="仿宋" w:cs="华文仿宋"/>
          <w:color w:val="000000"/>
          <w:kern w:val="0"/>
          <w:sz w:val="32"/>
          <w:szCs w:val="32"/>
        </w:rPr>
      </w:pPr>
      <w:r>
        <w:rPr>
          <w:rFonts w:hint="eastAsia" w:ascii="仿宋" w:hAnsi="仿宋" w:eastAsia="仿宋" w:cs="华文仿宋"/>
          <w:color w:val="000000"/>
          <w:kern w:val="0"/>
          <w:sz w:val="32"/>
          <w:szCs w:val="32"/>
        </w:rPr>
        <w:t>（一）考核内容及基本要求</w:t>
      </w:r>
    </w:p>
    <w:p>
      <w:pPr>
        <w:pStyle w:val="14"/>
        <w:spacing w:beforeLines="50" w:line="360" w:lineRule="auto"/>
        <w:ind w:firstLine="640" w:firstLineChars="200"/>
        <w:outlineLvl w:val="0"/>
        <w:rPr>
          <w:rFonts w:ascii="仿宋" w:hAnsi="仿宋" w:eastAsia="仿宋"/>
          <w:sz w:val="32"/>
          <w:szCs w:val="32"/>
        </w:rPr>
      </w:pPr>
      <w:r>
        <w:rPr>
          <w:rFonts w:hint="eastAsia" w:ascii="仿宋" w:hAnsi="仿宋" w:eastAsia="仿宋"/>
          <w:sz w:val="32"/>
          <w:szCs w:val="32"/>
        </w:rPr>
        <w:t>1. 基础研究及其成果方面</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（1）根据中心制定的研究课题指南，提出研究计划；每年至少承担 1 项中心下达的</w:t>
      </w:r>
      <w:r>
        <w:rPr>
          <w:rFonts w:hint="eastAsia" w:ascii="仿宋" w:hAnsi="仿宋" w:eastAsia="仿宋"/>
          <w:sz w:val="30"/>
          <w:szCs w:val="30"/>
          <w:lang w:eastAsia="zh-CN"/>
        </w:rPr>
        <w:t>预</w:t>
      </w:r>
      <w:r>
        <w:rPr>
          <w:rFonts w:hint="eastAsia" w:ascii="仿宋" w:hAnsi="仿宋" w:eastAsia="仿宋"/>
          <w:sz w:val="30"/>
          <w:szCs w:val="30"/>
        </w:rPr>
        <w:t>研项目，各季度按研究计划正常推进预研课题的研究工作以及中心承担的重大社会服务项目。</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（2）每季度至少完成 1 份相关国内外研究与发展动态的分析报告，向各级政府部门提交至少 1 份政策建议。在中心推荐的专家指导下，每年至少申报1项与预研项目相关的国家级或省部级研究课题。</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（3）预研课题每年至少完成2篇高水平的学术论文，并通过中心组织的学术研讨会专家评议，向中心牵头高校遴选的二类及以上奖励期刊投稿。</w:t>
      </w:r>
    </w:p>
    <w:p>
      <w:pPr>
        <w:pStyle w:val="14"/>
        <w:spacing w:line="300" w:lineRule="auto"/>
        <w:ind w:firstLine="600" w:firstLineChars="200"/>
        <w:rPr>
          <w:rFonts w:ascii="仿宋" w:hAnsi="仿宋" w:eastAsia="仿宋"/>
          <w:sz w:val="30"/>
          <w:szCs w:val="30"/>
        </w:rPr>
      </w:pPr>
      <w:r>
        <w:rPr>
          <w:rFonts w:hint="eastAsia" w:ascii="仿宋" w:hAnsi="仿宋" w:eastAsia="仿宋"/>
          <w:sz w:val="30"/>
          <w:szCs w:val="30"/>
        </w:rPr>
        <w:t>（4）按时完成中心下达的重点协同项目相关内容的研究任务。</w:t>
      </w:r>
    </w:p>
    <w:p>
      <w:pPr>
        <w:pStyle w:val="14"/>
        <w:spacing w:beforeLines="50" w:line="360" w:lineRule="auto"/>
        <w:ind w:firstLine="800" w:firstLineChars="250"/>
        <w:outlineLvl w:val="0"/>
        <w:rPr>
          <w:rFonts w:ascii="仿宋" w:hAnsi="仿宋" w:eastAsia="仿宋"/>
          <w:sz w:val="32"/>
          <w:szCs w:val="32"/>
        </w:rPr>
      </w:pPr>
      <w:r>
        <w:rPr>
          <w:rFonts w:hint="eastAsia" w:ascii="仿宋" w:hAnsi="仿宋" w:eastAsia="仿宋"/>
          <w:sz w:val="32"/>
          <w:szCs w:val="32"/>
        </w:rPr>
        <w:t>2. 中心学术服务与学术活动</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（1）按时参加中心组织的全体会议及重点学术研讨活动，每季度缺席次数不超过 2 次，全年缺席次数不超过 5 次，以活动签到记录为准。</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（2）每月在中心驻地开展中心内部小范围的学术交流活动不少于 1 次，围绕中心重点工作及时联系所负责的学科集群创新团队及协同单位相关人员，以中心内部网络工作日志及本人工作日志记录为准。</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）每季度至少协助相关学科集群创新团队组织举办各种学术研讨、行业论坛或成果发布会 1 次，以活动的事前计划方案、事后的纪要或活动的新闻报道为准。</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（4）每月至少撰写或编辑2条所负责联系的创新平台（学科集群）学术活动、发展动态信息，并在中心网站上发布。</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（5）围绕本人主持的中心预研课题的最新研究成果，每年至少举办1次面向协同单位的公开学术讲座或专题研究报告；以活动的事前计划方案、事后的纪要或活动的新闻报道为准。</w:t>
      </w:r>
    </w:p>
    <w:p>
      <w:pPr>
        <w:pStyle w:val="14"/>
        <w:spacing w:line="300" w:lineRule="auto"/>
        <w:ind w:firstLine="450" w:firstLineChars="150"/>
        <w:rPr>
          <w:rFonts w:ascii="仿宋" w:hAnsi="仿宋" w:eastAsia="仿宋"/>
          <w:sz w:val="30"/>
          <w:szCs w:val="30"/>
        </w:rPr>
      </w:pPr>
      <w:r>
        <w:rPr>
          <w:rFonts w:hint="eastAsia" w:ascii="仿宋" w:hAnsi="仿宋" w:eastAsia="仿宋"/>
          <w:sz w:val="30"/>
          <w:szCs w:val="30"/>
        </w:rPr>
        <w:t>（6）每年至少代表中心参加校外的学术交流活动2次以上，并提交参加活动的纪要，向中心提出相关的意见和建议；尽可能争取在活动中代表中心发言，宣传中心的工作和研究成果。</w:t>
      </w:r>
    </w:p>
    <w:p>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3.学科建设与人才培养</w:t>
      </w:r>
    </w:p>
    <w:p>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（1）根据中心的学科建设与人才培养实践，完成中心下达的学科建设与人才培养方案相关部分内容的研究和撰写任务。</w:t>
      </w:r>
    </w:p>
    <w:p>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（2）每年至少提出1份有关中心凝练学科特色方向、构建方向团队的分析报告；评价中心学科建设的成效，针对存在的问题，提出完善学科建设的意见和建议。</w:t>
      </w:r>
    </w:p>
    <w:p>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4.管理工作</w:t>
      </w:r>
    </w:p>
    <w:p>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完成中心下达的适量管理工作。</w:t>
      </w:r>
    </w:p>
    <w:p>
      <w:pPr>
        <w:spacing w:beforeLines="50" w:line="360" w:lineRule="auto"/>
        <w:ind w:firstLine="640" w:firstLineChars="200"/>
        <w:rPr>
          <w:rFonts w:ascii="仿宋" w:hAnsi="仿宋" w:eastAsia="仿宋" w:cs="华文仿宋"/>
          <w:color w:val="000000"/>
          <w:kern w:val="0"/>
          <w:sz w:val="32"/>
          <w:szCs w:val="32"/>
        </w:rPr>
      </w:pPr>
      <w:r>
        <w:rPr>
          <w:rFonts w:hint="eastAsia" w:ascii="仿宋" w:hAnsi="仿宋" w:eastAsia="仿宋" w:cs="华文仿宋"/>
          <w:color w:val="000000"/>
          <w:kern w:val="0"/>
          <w:sz w:val="32"/>
          <w:szCs w:val="32"/>
        </w:rPr>
        <w:t>（二）考核方式</w:t>
      </w:r>
    </w:p>
    <w:p>
      <w:pPr>
        <w:spacing w:line="300" w:lineRule="auto"/>
        <w:ind w:firstLine="450" w:firstLineChars="150"/>
        <w:rPr>
          <w:rFonts w:ascii="仿宋" w:hAnsi="仿宋" w:eastAsia="仿宋" w:cs="华文仿宋"/>
          <w:color w:val="000000"/>
          <w:kern w:val="0"/>
          <w:sz w:val="30"/>
          <w:szCs w:val="30"/>
        </w:rPr>
      </w:pPr>
      <w:r>
        <w:rPr>
          <w:rFonts w:hint="eastAsia" w:ascii="仿宋" w:hAnsi="仿宋" w:eastAsia="仿宋" w:cs="华文仿宋"/>
          <w:color w:val="000000"/>
          <w:kern w:val="0"/>
          <w:sz w:val="30"/>
          <w:szCs w:val="30"/>
        </w:rPr>
        <w:t xml:space="preserve"> 1. 绩效考核按照受聘人提交岗位履职报告，中心绩效考核组评议，中心学术委员会评议，中心主任办公会确定考核结果的程序进行。</w:t>
      </w:r>
    </w:p>
    <w:p>
      <w:pPr>
        <w:spacing w:line="300" w:lineRule="auto"/>
        <w:ind w:firstLine="450" w:firstLineChars="150"/>
        <w:rPr>
          <w:rFonts w:ascii="仿宋" w:hAnsi="仿宋" w:eastAsia="仿宋" w:cs="华文仿宋"/>
          <w:color w:val="000000"/>
          <w:kern w:val="0"/>
          <w:sz w:val="30"/>
          <w:szCs w:val="30"/>
        </w:rPr>
      </w:pPr>
      <w:r>
        <w:rPr>
          <w:rFonts w:hint="eastAsia" w:ascii="仿宋" w:hAnsi="仿宋" w:eastAsia="仿宋" w:cs="华文仿宋"/>
          <w:color w:val="000000"/>
          <w:kern w:val="0"/>
          <w:sz w:val="30"/>
          <w:szCs w:val="30"/>
        </w:rPr>
        <w:t xml:space="preserve"> 2. 季度考核在学术季结束后一周内进行，由受聘人向中心提交学术季履职报告，经中心主管副主任审核后在中心内部公示3个工作日。公示无异议后，则由中心季度绩效考核组进行评议，并给出评定等级建议。经中心主任办公会审核确定考核等级，并计入本人绩效档案。</w:t>
      </w:r>
    </w:p>
    <w:p>
      <w:pPr>
        <w:spacing w:line="300" w:lineRule="auto"/>
        <w:ind w:firstLine="450" w:firstLineChars="150"/>
        <w:rPr>
          <w:rFonts w:ascii="仿宋" w:hAnsi="仿宋" w:eastAsia="仿宋" w:cs="华文仿宋"/>
          <w:color w:val="000000"/>
          <w:kern w:val="0"/>
          <w:sz w:val="30"/>
          <w:szCs w:val="30"/>
        </w:rPr>
      </w:pPr>
      <w:r>
        <w:rPr>
          <w:rFonts w:hint="eastAsia" w:ascii="仿宋" w:hAnsi="仿宋" w:eastAsia="仿宋" w:cs="华文仿宋"/>
          <w:color w:val="000000"/>
          <w:kern w:val="0"/>
          <w:sz w:val="30"/>
          <w:szCs w:val="30"/>
        </w:rPr>
        <w:t xml:space="preserve"> 3. 年度绩效考核在年度聘期结束后两周内进行，由受聘人向中心提交年度履职报告，经中心主管副主任审核后在中心内部公示5个工作日。公示无异议后，中心举行年度工作述职会，由中心年度绩效考核组及中心各集群创新团队成员进行评议，并给出评定等级建议；评定等级建议经中心学术委员会审议后提交主任办公会审核确定考核等级，并对考核结果进行公示；无异议后计入受聘人绩效档案，并作为是否续聘的依据。</w:t>
      </w:r>
    </w:p>
    <w:p>
      <w:pPr>
        <w:spacing w:beforeLines="50" w:line="360" w:lineRule="auto"/>
        <w:ind w:firstLine="640" w:firstLineChars="200"/>
        <w:rPr>
          <w:rFonts w:ascii="仿宋" w:hAnsi="仿宋" w:eastAsia="仿宋" w:cs="华文仿宋"/>
          <w:color w:val="000000"/>
          <w:kern w:val="0"/>
          <w:sz w:val="32"/>
          <w:szCs w:val="32"/>
        </w:rPr>
      </w:pPr>
      <w:r>
        <w:rPr>
          <w:rFonts w:hint="eastAsia" w:ascii="仿宋" w:hAnsi="仿宋" w:eastAsia="仿宋" w:cs="华文仿宋"/>
          <w:color w:val="000000"/>
          <w:kern w:val="0"/>
          <w:sz w:val="32"/>
          <w:szCs w:val="32"/>
        </w:rPr>
        <w:t>（三）考核评定结果及使用</w:t>
      </w:r>
    </w:p>
    <w:p>
      <w:pPr>
        <w:spacing w:line="640" w:lineRule="exact"/>
        <w:ind w:firstLine="600" w:firstLineChars="200"/>
        <w:rPr>
          <w:rFonts w:ascii="仿宋" w:hAnsi="仿宋" w:eastAsia="仿宋" w:cs="华文仿宋"/>
          <w:color w:val="FF0000"/>
          <w:kern w:val="0"/>
          <w:sz w:val="30"/>
          <w:szCs w:val="30"/>
        </w:rPr>
      </w:pPr>
      <w:r>
        <w:rPr>
          <w:rFonts w:hint="eastAsia" w:ascii="仿宋" w:hAnsi="仿宋" w:eastAsia="仿宋" w:cs="华文仿宋"/>
          <w:color w:val="000000"/>
          <w:kern w:val="0"/>
          <w:sz w:val="30"/>
          <w:szCs w:val="30"/>
        </w:rPr>
        <w:t>1. 绩效考核按照A、B、C三个类别进行评定。完成本规定的绩效内容及基本要求，考核结果可评定为B类；在数量和质量上超出本规定绩效要求，可考核结果为A类；未完全达到本规定的绩效考核类别数量和质量，可评定为C类。</w:t>
      </w:r>
      <w:r>
        <w:rPr>
          <w:rFonts w:hint="eastAsia" w:ascii="仿宋" w:hAnsi="仿宋" w:eastAsia="仿宋" w:cs="华文仿宋"/>
          <w:kern w:val="0"/>
          <w:sz w:val="30"/>
          <w:szCs w:val="30"/>
        </w:rPr>
        <w:t>B类考核结果按照全年2万元发放岗位绩效津贴，A类可根据实际超额数量和质量，最高可按B类津贴的1.5倍发放。C类的绩效津贴，根据受聘人实际完成的岗位工作的类别数量及质量与岗位绩效要求之间的差距，确定在B类绩效津贴的基数上扣减一定比例进行发放。</w:t>
      </w:r>
    </w:p>
    <w:p>
      <w:pPr>
        <w:spacing w:line="300" w:lineRule="auto"/>
        <w:ind w:firstLine="600" w:firstLineChars="200"/>
        <w:rPr>
          <w:rFonts w:ascii="仿宋" w:hAnsi="仿宋" w:eastAsia="仿宋" w:cs="华文仿宋"/>
          <w:color w:val="000000"/>
          <w:kern w:val="0"/>
          <w:sz w:val="30"/>
          <w:szCs w:val="30"/>
        </w:rPr>
      </w:pPr>
      <w:r>
        <w:rPr>
          <w:rFonts w:hint="eastAsia" w:ascii="仿宋" w:hAnsi="仿宋" w:eastAsia="仿宋" w:cs="华文仿宋"/>
          <w:color w:val="000000"/>
          <w:kern w:val="0"/>
          <w:sz w:val="30"/>
          <w:szCs w:val="30"/>
        </w:rPr>
        <w:t>2. 绩效考核以年度考核为主，季度考核结果作为重要参考。年度考核评定为A者，各季度绩效考核等级不得低于B级。</w:t>
      </w:r>
    </w:p>
    <w:p>
      <w:pPr>
        <w:spacing w:line="300" w:lineRule="auto"/>
        <w:ind w:firstLine="600" w:firstLineChars="200"/>
        <w:rPr>
          <w:rFonts w:ascii="仿宋" w:hAnsi="仿宋" w:eastAsia="仿宋" w:cs="华文仿宋"/>
          <w:color w:val="000000"/>
          <w:kern w:val="0"/>
          <w:sz w:val="30"/>
          <w:szCs w:val="30"/>
        </w:rPr>
      </w:pPr>
      <w:r>
        <w:rPr>
          <w:rFonts w:ascii="仿宋" w:hAnsi="仿宋" w:eastAsia="仿宋" w:cs="华文仿宋"/>
          <w:color w:val="000000"/>
          <w:kern w:val="0"/>
          <w:sz w:val="30"/>
          <w:szCs w:val="30"/>
        </w:rPr>
        <w:t>3</w:t>
      </w:r>
      <w:r>
        <w:rPr>
          <w:rFonts w:hint="eastAsia" w:ascii="仿宋" w:hAnsi="仿宋" w:eastAsia="仿宋" w:cs="华文仿宋"/>
          <w:color w:val="000000"/>
          <w:kern w:val="0"/>
          <w:sz w:val="30"/>
          <w:szCs w:val="30"/>
        </w:rPr>
        <w:t>. 考核结果为B类的受聘人，中心根据工作需要可续聘；考核结果为A类的受聘人，中心根据工作需要可优先续聘；考核结果为C类的受聘人，中心原则上不再续聘。</w:t>
      </w:r>
    </w:p>
    <w:p>
      <w:pPr>
        <w:spacing w:beforeLines="50" w:line="30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第六章  附则</w:t>
      </w:r>
    </w:p>
    <w:p>
      <w:pPr>
        <w:spacing w:beforeLines="50" w:line="300" w:lineRule="auto"/>
        <w:ind w:firstLine="562"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 xml:space="preserve">第十六条  </w:t>
      </w:r>
      <w:r>
        <w:rPr>
          <w:rFonts w:hint="eastAsia" w:ascii="仿宋_GB2312" w:hAnsi="仿宋_GB2312" w:eastAsia="仿宋_GB2312" w:cs="仿宋_GB2312"/>
          <w:color w:val="000000"/>
          <w:sz w:val="28"/>
          <w:szCs w:val="28"/>
        </w:rPr>
        <w:t>本办法自中心管委会通过之日起施行。</w:t>
      </w:r>
    </w:p>
    <w:p>
      <w:pPr>
        <w:spacing w:line="300" w:lineRule="auto"/>
        <w:ind w:firstLine="562" w:firstLineChars="200"/>
        <w:jc w:val="left"/>
      </w:pPr>
      <w:r>
        <w:rPr>
          <w:rFonts w:hint="eastAsia" w:ascii="仿宋_GB2312" w:hAnsi="仿宋_GB2312" w:eastAsia="仿宋_GB2312" w:cs="仿宋_GB2312"/>
          <w:b/>
          <w:bCs/>
          <w:color w:val="000000"/>
          <w:sz w:val="28"/>
          <w:szCs w:val="28"/>
        </w:rPr>
        <w:t xml:space="preserve">第十七条  </w:t>
      </w:r>
      <w:r>
        <w:rPr>
          <w:rFonts w:hint="eastAsia" w:ascii="仿宋_GB2312" w:hAnsi="仿宋_GB2312" w:eastAsia="仿宋_GB2312" w:cs="仿宋_GB2312"/>
          <w:color w:val="000000"/>
          <w:sz w:val="28"/>
          <w:szCs w:val="28"/>
        </w:rPr>
        <w:t xml:space="preserve">本办法由中心办公室负责解释。 </w:t>
      </w:r>
    </w:p>
    <w:sectPr>
      <w:footerReference r:id="rId3" w:type="default"/>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jc w:val="center"/>
    </w:pPr>
    <w:r>
      <w:fldChar w:fldCharType="begin"/>
    </w:r>
    <w:r>
      <w:instrText xml:space="preserve"> PAGE   \* MERGEFORMAT </w:instrText>
    </w:r>
    <w:r>
      <w:fldChar w:fldCharType="separate"/>
    </w:r>
    <w:r>
      <w:rPr>
        <w:lang w:val="zh-CN"/>
      </w:rPr>
      <w:t>5</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203D"/>
    <w:rsid w:val="000020BA"/>
    <w:rsid w:val="0002273A"/>
    <w:rsid w:val="00030F3C"/>
    <w:rsid w:val="00036020"/>
    <w:rsid w:val="00044CAB"/>
    <w:rsid w:val="00045322"/>
    <w:rsid w:val="000474EC"/>
    <w:rsid w:val="0006548C"/>
    <w:rsid w:val="0007656A"/>
    <w:rsid w:val="00086056"/>
    <w:rsid w:val="00090EA0"/>
    <w:rsid w:val="00091F3B"/>
    <w:rsid w:val="000950EE"/>
    <w:rsid w:val="000A2AB1"/>
    <w:rsid w:val="000C6907"/>
    <w:rsid w:val="000D23CB"/>
    <w:rsid w:val="000E0263"/>
    <w:rsid w:val="000F72C6"/>
    <w:rsid w:val="000F7A27"/>
    <w:rsid w:val="0010203D"/>
    <w:rsid w:val="00127D61"/>
    <w:rsid w:val="00142A75"/>
    <w:rsid w:val="00154AFD"/>
    <w:rsid w:val="00161CD5"/>
    <w:rsid w:val="00165257"/>
    <w:rsid w:val="00166E05"/>
    <w:rsid w:val="001677D2"/>
    <w:rsid w:val="00170D57"/>
    <w:rsid w:val="00185D4E"/>
    <w:rsid w:val="001A0F57"/>
    <w:rsid w:val="001B6870"/>
    <w:rsid w:val="001C3013"/>
    <w:rsid w:val="001C57C4"/>
    <w:rsid w:val="001D0347"/>
    <w:rsid w:val="001E2C41"/>
    <w:rsid w:val="001F45FB"/>
    <w:rsid w:val="002149E2"/>
    <w:rsid w:val="00215E1A"/>
    <w:rsid w:val="00231346"/>
    <w:rsid w:val="002433D6"/>
    <w:rsid w:val="0025644C"/>
    <w:rsid w:val="00270D0B"/>
    <w:rsid w:val="002852AD"/>
    <w:rsid w:val="002A1192"/>
    <w:rsid w:val="002C407B"/>
    <w:rsid w:val="002E56EE"/>
    <w:rsid w:val="002F7A31"/>
    <w:rsid w:val="002F7F4A"/>
    <w:rsid w:val="00375F0E"/>
    <w:rsid w:val="00386666"/>
    <w:rsid w:val="003B04F9"/>
    <w:rsid w:val="003B0FD7"/>
    <w:rsid w:val="003B1A68"/>
    <w:rsid w:val="003C0609"/>
    <w:rsid w:val="003D0790"/>
    <w:rsid w:val="003F74E4"/>
    <w:rsid w:val="004170D8"/>
    <w:rsid w:val="00421A39"/>
    <w:rsid w:val="0042776D"/>
    <w:rsid w:val="0046421D"/>
    <w:rsid w:val="00484971"/>
    <w:rsid w:val="00484A55"/>
    <w:rsid w:val="004902EB"/>
    <w:rsid w:val="0049297B"/>
    <w:rsid w:val="0049631B"/>
    <w:rsid w:val="004B39BD"/>
    <w:rsid w:val="004B4A7D"/>
    <w:rsid w:val="004B758F"/>
    <w:rsid w:val="004C58A2"/>
    <w:rsid w:val="004D4A35"/>
    <w:rsid w:val="004E62CB"/>
    <w:rsid w:val="005033A7"/>
    <w:rsid w:val="005134E7"/>
    <w:rsid w:val="0051570A"/>
    <w:rsid w:val="005211DE"/>
    <w:rsid w:val="005643E4"/>
    <w:rsid w:val="005751DD"/>
    <w:rsid w:val="00584437"/>
    <w:rsid w:val="005912BE"/>
    <w:rsid w:val="00593972"/>
    <w:rsid w:val="005A35D9"/>
    <w:rsid w:val="005B4B89"/>
    <w:rsid w:val="005B75E2"/>
    <w:rsid w:val="005C437E"/>
    <w:rsid w:val="005D525B"/>
    <w:rsid w:val="005D55E3"/>
    <w:rsid w:val="00611A27"/>
    <w:rsid w:val="00614A8A"/>
    <w:rsid w:val="00654F8B"/>
    <w:rsid w:val="00657460"/>
    <w:rsid w:val="006724AA"/>
    <w:rsid w:val="00674833"/>
    <w:rsid w:val="006E37D6"/>
    <w:rsid w:val="006E3F58"/>
    <w:rsid w:val="006E7C60"/>
    <w:rsid w:val="007015FD"/>
    <w:rsid w:val="00711AA2"/>
    <w:rsid w:val="00717BFF"/>
    <w:rsid w:val="00732442"/>
    <w:rsid w:val="00735578"/>
    <w:rsid w:val="0073698E"/>
    <w:rsid w:val="0074159F"/>
    <w:rsid w:val="0076423E"/>
    <w:rsid w:val="0077422F"/>
    <w:rsid w:val="00790F8C"/>
    <w:rsid w:val="007C59B4"/>
    <w:rsid w:val="007D343C"/>
    <w:rsid w:val="007D421B"/>
    <w:rsid w:val="007F5411"/>
    <w:rsid w:val="00813159"/>
    <w:rsid w:val="00815B6B"/>
    <w:rsid w:val="00831C00"/>
    <w:rsid w:val="008422D3"/>
    <w:rsid w:val="00867E45"/>
    <w:rsid w:val="008721C5"/>
    <w:rsid w:val="00874001"/>
    <w:rsid w:val="008764BF"/>
    <w:rsid w:val="008951C6"/>
    <w:rsid w:val="008A7389"/>
    <w:rsid w:val="008B1B0C"/>
    <w:rsid w:val="008B5FB1"/>
    <w:rsid w:val="008C31F6"/>
    <w:rsid w:val="008D5D7E"/>
    <w:rsid w:val="008E6B01"/>
    <w:rsid w:val="00903FF0"/>
    <w:rsid w:val="00926E28"/>
    <w:rsid w:val="00927C2F"/>
    <w:rsid w:val="00940AC0"/>
    <w:rsid w:val="00940B5E"/>
    <w:rsid w:val="00950969"/>
    <w:rsid w:val="009726B1"/>
    <w:rsid w:val="00975418"/>
    <w:rsid w:val="00976ECD"/>
    <w:rsid w:val="00983450"/>
    <w:rsid w:val="009A0F0A"/>
    <w:rsid w:val="009B4083"/>
    <w:rsid w:val="009D66F0"/>
    <w:rsid w:val="009E6FB2"/>
    <w:rsid w:val="009E7EB4"/>
    <w:rsid w:val="009F1189"/>
    <w:rsid w:val="009F3176"/>
    <w:rsid w:val="009F37BB"/>
    <w:rsid w:val="00A10C69"/>
    <w:rsid w:val="00A32920"/>
    <w:rsid w:val="00AA3B1F"/>
    <w:rsid w:val="00AA6F03"/>
    <w:rsid w:val="00AB2FF0"/>
    <w:rsid w:val="00AB3786"/>
    <w:rsid w:val="00AC73C7"/>
    <w:rsid w:val="00AE13F3"/>
    <w:rsid w:val="00AE5F38"/>
    <w:rsid w:val="00AE6B57"/>
    <w:rsid w:val="00AF760F"/>
    <w:rsid w:val="00B04E51"/>
    <w:rsid w:val="00B122BD"/>
    <w:rsid w:val="00B25F87"/>
    <w:rsid w:val="00B271F2"/>
    <w:rsid w:val="00B276F1"/>
    <w:rsid w:val="00B27F41"/>
    <w:rsid w:val="00B37B57"/>
    <w:rsid w:val="00B67654"/>
    <w:rsid w:val="00B71DF6"/>
    <w:rsid w:val="00B73675"/>
    <w:rsid w:val="00B9514B"/>
    <w:rsid w:val="00BC047E"/>
    <w:rsid w:val="00BC0703"/>
    <w:rsid w:val="00BE14B4"/>
    <w:rsid w:val="00BE21EB"/>
    <w:rsid w:val="00BF0F92"/>
    <w:rsid w:val="00C17A9A"/>
    <w:rsid w:val="00C201C0"/>
    <w:rsid w:val="00C2487F"/>
    <w:rsid w:val="00C43654"/>
    <w:rsid w:val="00C5126A"/>
    <w:rsid w:val="00C51971"/>
    <w:rsid w:val="00C70EB8"/>
    <w:rsid w:val="00C86FFE"/>
    <w:rsid w:val="00C94023"/>
    <w:rsid w:val="00C977E2"/>
    <w:rsid w:val="00CA71E9"/>
    <w:rsid w:val="00CB0FA0"/>
    <w:rsid w:val="00CB65AC"/>
    <w:rsid w:val="00CD7407"/>
    <w:rsid w:val="00CF1191"/>
    <w:rsid w:val="00D00305"/>
    <w:rsid w:val="00D10BA6"/>
    <w:rsid w:val="00D1228B"/>
    <w:rsid w:val="00D40E16"/>
    <w:rsid w:val="00D41364"/>
    <w:rsid w:val="00D72FC7"/>
    <w:rsid w:val="00D75223"/>
    <w:rsid w:val="00D87CAB"/>
    <w:rsid w:val="00D9777A"/>
    <w:rsid w:val="00DD6EC9"/>
    <w:rsid w:val="00DE52B0"/>
    <w:rsid w:val="00E10792"/>
    <w:rsid w:val="00E15705"/>
    <w:rsid w:val="00E21001"/>
    <w:rsid w:val="00E24099"/>
    <w:rsid w:val="00E26EED"/>
    <w:rsid w:val="00E418DF"/>
    <w:rsid w:val="00E41D38"/>
    <w:rsid w:val="00E44685"/>
    <w:rsid w:val="00E62C24"/>
    <w:rsid w:val="00E66CD4"/>
    <w:rsid w:val="00E72B86"/>
    <w:rsid w:val="00E76E6C"/>
    <w:rsid w:val="00E84536"/>
    <w:rsid w:val="00E86490"/>
    <w:rsid w:val="00EA25EF"/>
    <w:rsid w:val="00EC3E14"/>
    <w:rsid w:val="00EC59E8"/>
    <w:rsid w:val="00EE50F4"/>
    <w:rsid w:val="00F010D1"/>
    <w:rsid w:val="00F146A8"/>
    <w:rsid w:val="00F27102"/>
    <w:rsid w:val="00F36ACF"/>
    <w:rsid w:val="00F41A8C"/>
    <w:rsid w:val="00F5521C"/>
    <w:rsid w:val="00FC1E9F"/>
    <w:rsid w:val="00FC6455"/>
    <w:rsid w:val="00FD29A8"/>
    <w:rsid w:val="00FD53B1"/>
    <w:rsid w:val="00FF47A3"/>
    <w:rsid w:val="0F8A4FB4"/>
    <w:rsid w:val="39CA5E27"/>
    <w:rsid w:val="54D746DC"/>
    <w:rsid w:val="617D3618"/>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uiPriority w:val="99"/>
    <w:rPr>
      <w:b/>
      <w:bCs/>
    </w:rPr>
  </w:style>
  <w:style w:type="paragraph" w:styleId="3">
    <w:name w:val="annotation text"/>
    <w:basedOn w:val="1"/>
    <w:link w:val="16"/>
    <w:semiHidden/>
    <w:uiPriority w:val="99"/>
    <w:pPr>
      <w:jc w:val="left"/>
    </w:pPr>
  </w:style>
  <w:style w:type="paragraph" w:styleId="4">
    <w:name w:val="Document Map"/>
    <w:basedOn w:val="1"/>
    <w:link w:val="18"/>
    <w:unhideWhenUsed/>
    <w:uiPriority w:val="99"/>
    <w:rPr>
      <w:rFonts w:ascii="宋体"/>
      <w:sz w:val="18"/>
      <w:szCs w:val="18"/>
    </w:rPr>
  </w:style>
  <w:style w:type="paragraph" w:styleId="5">
    <w:name w:val="Balloon Text"/>
    <w:basedOn w:val="1"/>
    <w:link w:val="15"/>
    <w:semiHidden/>
    <w:uiPriority w:val="99"/>
    <w:rPr>
      <w:sz w:val="18"/>
      <w:szCs w:val="18"/>
    </w:rPr>
  </w:style>
  <w:style w:type="paragraph" w:styleId="6">
    <w:name w:val="footer"/>
    <w:basedOn w:val="1"/>
    <w:link w:val="12"/>
    <w:uiPriority w:val="99"/>
    <w:pPr>
      <w:tabs>
        <w:tab w:val="center" w:pos="4153"/>
        <w:tab w:val="right" w:pos="8306"/>
      </w:tabs>
      <w:snapToGrid w:val="0"/>
      <w:jc w:val="left"/>
    </w:pPr>
    <w:rPr>
      <w:rFonts w:ascii="Calibri" w:hAnsi="Calibri"/>
      <w:sz w:val="18"/>
      <w:szCs w:val="18"/>
    </w:rPr>
  </w:style>
  <w:style w:type="paragraph" w:styleId="7">
    <w:name w:val="header"/>
    <w:basedOn w:val="1"/>
    <w:link w:val="11"/>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9">
    <w:name w:val="annotation reference"/>
    <w:semiHidden/>
    <w:uiPriority w:val="99"/>
    <w:rPr>
      <w:rFonts w:cs="Times New Roman"/>
      <w:sz w:val="21"/>
      <w:szCs w:val="21"/>
    </w:rPr>
  </w:style>
  <w:style w:type="character" w:customStyle="1" w:styleId="11">
    <w:name w:val="页眉 Char"/>
    <w:link w:val="7"/>
    <w:locked/>
    <w:uiPriority w:val="99"/>
    <w:rPr>
      <w:rFonts w:cs="Times New Roman"/>
      <w:sz w:val="18"/>
      <w:szCs w:val="18"/>
    </w:rPr>
  </w:style>
  <w:style w:type="character" w:customStyle="1" w:styleId="12">
    <w:name w:val="页脚 Char"/>
    <w:link w:val="6"/>
    <w:locked/>
    <w:uiPriority w:val="99"/>
    <w:rPr>
      <w:rFonts w:cs="Times New Roman"/>
      <w:sz w:val="18"/>
      <w:szCs w:val="18"/>
    </w:rPr>
  </w:style>
  <w:style w:type="paragraph" w:customStyle="1" w:styleId="13">
    <w:name w:val="0"/>
    <w:basedOn w:val="1"/>
    <w:uiPriority w:val="99"/>
    <w:pPr>
      <w:widowControl/>
      <w:spacing w:before="100" w:beforeAutospacing="1" w:after="100" w:afterAutospacing="1"/>
      <w:jc w:val="left"/>
    </w:pPr>
    <w:rPr>
      <w:rFonts w:ascii="宋体" w:hAnsi="宋体" w:cs="宋体"/>
      <w:kern w:val="0"/>
      <w:sz w:val="24"/>
    </w:rPr>
  </w:style>
  <w:style w:type="paragraph" w:customStyle="1" w:styleId="14">
    <w:name w:val="Default"/>
    <w:qFormat/>
    <w:uiPriority w:val="0"/>
    <w:pPr>
      <w:widowControl w:val="0"/>
      <w:autoSpaceDE w:val="0"/>
      <w:autoSpaceDN w:val="0"/>
      <w:adjustRightInd w:val="0"/>
    </w:pPr>
    <w:rPr>
      <w:rFonts w:ascii="华文仿宋" w:hAnsi="Calibri" w:eastAsia="华文仿宋" w:cs="华文仿宋"/>
      <w:color w:val="000000"/>
      <w:sz w:val="24"/>
      <w:szCs w:val="24"/>
      <w:lang w:val="en-US" w:eastAsia="zh-CN" w:bidi="ar-SA"/>
    </w:rPr>
  </w:style>
  <w:style w:type="character" w:customStyle="1" w:styleId="15">
    <w:name w:val="批注框文本 Char"/>
    <w:link w:val="5"/>
    <w:semiHidden/>
    <w:uiPriority w:val="99"/>
    <w:rPr>
      <w:rFonts w:ascii="Times New Roman" w:hAnsi="Times New Roman"/>
      <w:sz w:val="0"/>
      <w:szCs w:val="0"/>
    </w:rPr>
  </w:style>
  <w:style w:type="character" w:customStyle="1" w:styleId="16">
    <w:name w:val="批注文字 Char"/>
    <w:link w:val="3"/>
    <w:semiHidden/>
    <w:uiPriority w:val="99"/>
    <w:rPr>
      <w:rFonts w:ascii="Times New Roman" w:hAnsi="Times New Roman"/>
      <w:szCs w:val="24"/>
    </w:rPr>
  </w:style>
  <w:style w:type="character" w:customStyle="1" w:styleId="17">
    <w:name w:val="批注主题 Char"/>
    <w:link w:val="2"/>
    <w:semiHidden/>
    <w:uiPriority w:val="99"/>
    <w:rPr>
      <w:rFonts w:ascii="Times New Roman" w:hAnsi="Times New Roman"/>
      <w:b/>
      <w:bCs/>
      <w:szCs w:val="24"/>
    </w:rPr>
  </w:style>
  <w:style w:type="character" w:customStyle="1" w:styleId="18">
    <w:name w:val="文档结构图 Char"/>
    <w:basedOn w:val="8"/>
    <w:link w:val="4"/>
    <w:semiHidden/>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3035</Words>
  <Characters>3055</Characters>
  <Lines>22</Lines>
  <Paragraphs>6</Paragraphs>
  <ScaleCrop>false</ScaleCrop>
  <LinksUpToDate>false</LinksUpToDate>
  <CharactersWithSpaces>3187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2015-01-10T07:34:00Z</dcterms:created>
  <dc:creator>hp</dc:creator>
  <cp:lastModifiedBy>hp</cp:lastModifiedBy>
  <cp:lastPrinted>2015-01-12T02:47:00Z</cp:lastPrinted>
  <dcterms:modified xsi:type="dcterms:W3CDTF">2016-03-09T07:55:33Z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